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after="240" w:line="360" w:lineRule="auto"/>
        <w:jc w:val="both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Polityka prywatno</w:t>
      </w:r>
      <w:r>
        <w:rPr>
          <w:b w:val="1"/>
          <w:bCs w:val="1"/>
          <w:sz w:val="36"/>
          <w:szCs w:val="36"/>
          <w:rtl w:val="0"/>
        </w:rPr>
        <w:t>ś</w:t>
      </w:r>
      <w:r>
        <w:rPr>
          <w:b w:val="1"/>
          <w:bCs w:val="1"/>
          <w:sz w:val="36"/>
          <w:szCs w:val="36"/>
          <w:rtl w:val="0"/>
        </w:rPr>
        <w:t>ci i zasady dotycz</w:t>
      </w:r>
      <w:r>
        <w:rPr>
          <w:b w:val="1"/>
          <w:bCs w:val="1"/>
          <w:sz w:val="36"/>
          <w:szCs w:val="36"/>
          <w:rtl w:val="0"/>
        </w:rPr>
        <w:t>ą</w:t>
      </w:r>
      <w:r>
        <w:rPr>
          <w:b w:val="1"/>
          <w:bCs w:val="1"/>
          <w:sz w:val="36"/>
          <w:szCs w:val="36"/>
          <w:rtl w:val="0"/>
        </w:rPr>
        <w:t>ce plik</w:t>
      </w:r>
      <w:r>
        <w:rPr>
          <w:b w:val="1"/>
          <w:bCs w:val="1"/>
          <w:sz w:val="36"/>
          <w:szCs w:val="36"/>
          <w:rtl w:val="0"/>
          <w:lang w:val="es-ES_tradnl"/>
        </w:rPr>
        <w:t>ó</w:t>
      </w:r>
      <w:r>
        <w:rPr>
          <w:b w:val="1"/>
          <w:bCs w:val="1"/>
          <w:sz w:val="36"/>
          <w:szCs w:val="36"/>
          <w:rtl w:val="0"/>
          <w:lang w:val="en-US"/>
        </w:rPr>
        <w:t>w cookies</w:t>
      </w:r>
    </w:p>
    <w:p>
      <w:pPr>
        <w:pStyle w:val="Treść A"/>
      </w:pP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sz w:val="22"/>
          <w:szCs w:val="22"/>
        </w:rPr>
      </w:pPr>
      <w:bookmarkStart w:name="_ur07oqyfrfsp" w:id="0"/>
      <w:bookmarkEnd w:id="0"/>
      <w:r>
        <w:rPr>
          <w:sz w:val="22"/>
          <w:szCs w:val="22"/>
          <w:rtl w:val="0"/>
          <w:lang w:val="en-US"/>
        </w:rPr>
        <w:t>W</w:t>
      </w:r>
      <w:r>
        <w:rPr>
          <w:sz w:val="22"/>
          <w:szCs w:val="22"/>
          <w:rtl w:val="0"/>
        </w:rPr>
        <w:t>itaj! Je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 xml:space="preserve">li to czytasz, oznacza to,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cenisz swoj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prywatno</w:t>
      </w:r>
      <w:r>
        <w:rPr>
          <w:sz w:val="22"/>
          <w:szCs w:val="22"/>
          <w:rtl w:val="0"/>
        </w:rPr>
        <w:t>ść</w:t>
      </w:r>
      <w:r>
        <w:rPr>
          <w:sz w:val="22"/>
          <w:szCs w:val="22"/>
          <w:rtl w:val="0"/>
        </w:rPr>
        <w:t>. Znajdziesz tutaj najwa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niejsze informacje w jaki spos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b gromadzimy, przetwarzamy i wykorzystujemy informacje o osobach korzystaj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z naszej strony edubus.com.pl. Zgodnie z RODO przys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uguje Ci prawo do informacji o sposobie przechowywania danych osobowych oraz wykorzystywaniu plik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cookies. W razie jakichkolwiek pyta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polityki prywatno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 xml:space="preserve">ci, zapraszam do kontaktu: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"mailto:kontakt.edubus@gmail.com"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kontakt.edubus@gmail.com</w:t>
      </w:r>
      <w:r>
        <w:rPr/>
        <w:fldChar w:fldCharType="end" w:fldLock="0"/>
      </w:r>
    </w:p>
    <w:p>
      <w:pPr>
        <w:pStyle w:val="Treść A"/>
        <w:spacing w:after="240" w:line="360" w:lineRule="auto"/>
        <w:jc w:val="both"/>
        <w:rPr>
          <w:rStyle w:val="Brak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Informacj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ę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ę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podajemy zgodnie z Ustaw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z dnia 18 lipca 2002 r o  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wiadczeniu us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ug drog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elektroniczn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(Dz. U. Nr 144, poz. 1204 z po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ź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n. zm.) Dzia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amy zgodnie z art. 13 i 14 Rozporz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dzenia Parlamentu Europejskiego i Rady (UE) 2016/679 z dnia 27.04.2016r. w sprawie ochrony os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:lang w:val="es-ES_tradnl"/>
          <w14:textFill>
            <w14:solidFill>
              <w14:srgbClr w14:val="212529"/>
            </w14:solidFill>
          </w14:textFill>
        </w:rPr>
        <w:t>ó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b fizycznych w zwi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zku z przetwarzaniem danych osobowych i w sprawie swobodnego przep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ywu takich danych oraz uchylenia dyrektywy 95/46/WE (RODO)</w:t>
      </w:r>
    </w:p>
    <w:p>
      <w:pPr>
        <w:pStyle w:val="Treść A"/>
        <w:spacing w:after="240" w:line="360" w:lineRule="auto"/>
        <w:jc w:val="both"/>
        <w:rPr>
          <w:rStyle w:val="Brak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Jednocze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nie zastrzegamy sobie prawo do wprowadzania zmian w niniejszej Polityce prywatno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ci. Twoich danych nie sprzedajemy i nie udost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ę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pniamy ich podmiotom trzecim.</w:t>
      </w:r>
    </w:p>
    <w:p>
      <w:pPr>
        <w:pStyle w:val="Treść A"/>
        <w:spacing w:after="300"/>
        <w:rPr>
          <w:rStyle w:val="Brak"/>
          <w:sz w:val="24"/>
          <w:szCs w:val="24"/>
        </w:rPr>
      </w:pP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Je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ż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eli nie akceptujesz naszej Polityki prywatno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ci, prosimy, nie odwiedzaj tego serwisu oraz nie udost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ę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pniaj naszej firmie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ż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adnych danych dotycz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cych Twojej osoby. </w:t>
      </w:r>
      <w:r>
        <w:rPr>
          <w:rStyle w:val="Brak"/>
          <w:sz w:val="24"/>
          <w:szCs w:val="24"/>
          <w:rtl w:val="0"/>
        </w:rPr>
        <w:t>Korzystanie z tej strony www jest potwierdzeniem akceptacji zasad zawartych w niniejszym regulaminie Polityki Prywatno</w:t>
      </w:r>
      <w:r>
        <w:rPr>
          <w:rStyle w:val="Brak"/>
          <w:sz w:val="24"/>
          <w:szCs w:val="24"/>
          <w:rtl w:val="0"/>
        </w:rPr>
        <w:t>ś</w:t>
      </w:r>
      <w:r>
        <w:rPr>
          <w:rStyle w:val="Brak"/>
          <w:sz w:val="24"/>
          <w:szCs w:val="24"/>
          <w:rtl w:val="0"/>
        </w:rPr>
        <w:t>ci.</w:t>
      </w:r>
    </w:p>
    <w:p>
      <w:pPr>
        <w:pStyle w:val="Treść A"/>
      </w:pP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bfra9myvnivr" w:id="1"/>
      <w:bookmarkEnd w:id="1"/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s5hraii27u5g" w:id="2"/>
      <w:bookmarkEnd w:id="2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1  Kim jest administrator Twoich danych osobowych?</w:t>
      </w:r>
    </w:p>
    <w:p>
      <w:pPr>
        <w:pStyle w:val="Treść A"/>
        <w:spacing w:after="300"/>
        <w:rPr>
          <w:rStyle w:val="Brak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Style w:val="Brak"/>
          <w:rFonts w:ascii="Arial Unicode MS" w:cs="Arial Unicode MS" w:hAnsi="Arial Unicode MS" w:eastAsia="Arial Unicode MS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Administratorem danych osobowych jest w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ciciel strony edubus.com.pl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–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Sandra Skowronek prowadz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ca dzia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alno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ść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gospodarcz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pod nazw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EduBus School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–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Sandra Skowronek </w:t>
      </w:r>
      <w:r>
        <w:rPr>
          <w:rStyle w:val="Brak"/>
          <w:outline w:val="0"/>
          <w:color w:val="335dab"/>
          <w:sz w:val="27"/>
          <w:szCs w:val="27"/>
          <w:u w:color="335dab"/>
          <w:rtl w:val="0"/>
          <w14:textFill>
            <w14:solidFill>
              <w14:srgbClr w14:val="335DAB"/>
            </w14:solidFill>
          </w14:textFill>
        </w:rPr>
        <w:t xml:space="preserve">NIP: 6482817902.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Adres do kontaktu ul. Przyjazna 37 41-706 Ruda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l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ska. Mo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ż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esz skontaktowa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ć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si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ę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z Administratorem poprzez maila kontakt.edubus@gmail.com</w:t>
      </w:r>
    </w:p>
    <w:p>
      <w:pPr>
        <w:pStyle w:val="Treść A"/>
        <w:spacing w:after="300"/>
        <w:rPr>
          <w:rStyle w:val="Brak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 </w:t>
      </w:r>
      <w:r>
        <w:rPr>
          <w:rStyle w:val="Brak"/>
          <w:rFonts w:ascii="Arial Unicode MS" w:cs="Arial Unicode MS" w:hAnsi="Arial Unicode MS" w:eastAsia="Arial Unicode MS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  <w:br w:type="textWrapping"/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Informacj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ę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ę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podajemy zgodnie z Ustaw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z dnia 18 lipca 2002 r o  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wiadczeniu us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ug drog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elektroniczn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ą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(Dz. U. Nr 144, poz. 1204 z po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ź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n. zm.) Dzia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amy zgodnie z art. 13 i 14 Rozporz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dzenia Parlamentu Europejskiego i Rady (UE) 2016/679 z dnia 27.04.2016r. w sprawie ochrony os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:lang w:val="es-ES_tradnl"/>
          <w14:textFill>
            <w14:solidFill>
              <w14:srgbClr w14:val="212529"/>
            </w14:solidFill>
          </w14:textFill>
        </w:rPr>
        <w:t>ó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b fizycznych w zwi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zku z przetwarzaniem danych osobowych i w sprawie swobodnego przep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ywu takich danych oraz uchylenia dyrektywy 95/46/WE (RODO)</w:t>
      </w:r>
    </w:p>
    <w:p>
      <w:pPr>
        <w:pStyle w:val="Treść A"/>
        <w:spacing w:after="240" w:line="360" w:lineRule="auto"/>
        <w:jc w:val="both"/>
        <w:rPr>
          <w:rStyle w:val="Brak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Jednocze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nie zastrzegamy sobie prawo do wprowadzania zmian w niniejszej Polityce prywatno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ci. Twoich danych nie sprzedajemy i nie udost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ę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pniamy ich podmiotom trzecim.</w:t>
      </w:r>
    </w:p>
    <w:p>
      <w:pPr>
        <w:pStyle w:val="Treść A"/>
        <w:spacing w:after="240" w:line="360" w:lineRule="auto"/>
        <w:jc w:val="both"/>
        <w:rPr>
          <w:rStyle w:val="Brak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Je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ż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eli nie akceptujesz naszej Polityki prywatno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ś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ci, prosimy, nie odwiedzaj tego serwisu oraz nie udost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ę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pniaj naszej firmie 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ż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adnych danych dotycz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ą</w:t>
      </w:r>
      <w:r>
        <w:rPr>
          <w:rStyle w:val="Brak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cych Twojej osoby.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rFonts w:ascii="Arial Unicode MS" w:cs="Arial Unicode MS" w:hAnsi="Arial Unicode MS" w:eastAsia="Arial Unicode MS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vr1gjhuzrje" w:id="3"/>
      <w:bookmarkEnd w:id="3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2 W jakim celu zbieramy Twoje dane i jak d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 xml:space="preserve">ugo je przechowujemy?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emy przetwarza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Twoje dane w nast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celach: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2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Komunikacji z Tob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w tym udzielania odpowiedzi na pytania przekazane przez formularz kontaktowy, wiadomo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ść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e-mail, itp.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w oparciu o uzasadniony interes Administratora w postaci komunikacji z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ytkownikami Strony (art. 6 ust. 1 lit. f RODO). Twoje 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nie 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ej 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ż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czasu wniesienia przez Ciebie sprzeciwu lub ustania celu biznesowego. Podanie tych danych jest dobrowolne, ale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dne do komunikacji z Tob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 Dane mog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tak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przetwarzane w celu archiwizacji do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wewn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trznych w oparciu o uzasadniony interes Administratora (art. 6 ust. 1 lit. f RODO) do czasu wniesienia sprzeciwu lub ustania celu biznesowego.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Zawarcia umowy i jej realizacji (z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enia zam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wienia).</w:t>
      </w:r>
    </w:p>
    <w:p>
      <w:pPr>
        <w:pStyle w:val="Treść A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Ustalenia, obrony i dochodzenia roszcze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</w:p>
    <w:p>
      <w:pPr>
        <w:pStyle w:val="Treść A"/>
        <w:numPr>
          <w:ilvl w:val="0"/>
          <w:numId w:val="8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Realizacji obowi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zk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prawnych ci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ążą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na Administratorze (m.in. obowi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zk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podatkowych i archiwizacyjnych).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niezb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dne do zawarcia i realizacji umowy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czas realizacji umowy, w tym przez czas realizacji uprawnie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ń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wynikaj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z umowy, jak np. prawo do reklamacji z tytu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 r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kojmi (art. 6 ust. 1 lit. b i f RODO). Podanie tych danych jest dobrowolne, ale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dne do zawarcia i realizacji umowy.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Dane dodatkowe podane w celu m.in. usprawnienia realizacji umowy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nie 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ej 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ż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czasu wniesienia przez Ciebie sprzeciwu lub ustania celu biznesowego w oparciu o uzasadniony interes w postaci obs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Klient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w (art. 6 ust. 1 lit. f RODO).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Po tym okresie,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b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okres przedawnienia roszcze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w oparciu o uzasadniony interes Administratora w celu obrony przed roszczeniami, a tak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w celu ustalenia i dochodzenia roszcze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ń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(art. 6 ust. 1 lit. f RODO).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W przypadku gdy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s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niezb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dne do realizacji obowi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zk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prawnych ci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ążą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na Administratorze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(jak np. wystawianie i przechowywanie faktur)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w tym celu nie 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ej 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ż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przez 6 lat (obowi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zki archiwizacyjne dot. dokument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ksi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gowych), chyba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przepisy prawa wymagaj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szego okresu (art. 6 ust. 1 lit. c RODO).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mog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tak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archiwizowane do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wewn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trznych i statystycznych do czasu wniesienia przez Ciebie sprzeciwu lub ustania celu biznesowego w oparciu o uzasadniony interes Administratora (art. 6 ust. 1 lit. f RODO).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10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Dostarczania informacji marketingowych (m.in. wysy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ki newslettera oraz informacji o us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ugach, produktach, promocjach, darmowych tre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ciach za pomoc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innych narz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dzi, np. chatbot, telefonicznie).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w oparciu o uzasadniony interes Administratora w postaci marketingu produkt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i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 Administratora (art. 6 ust. 1 lit. f RODO). Twoje 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nie 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ej 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ż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do czasu wniesienia przez Ciebie sprzeciwu lub ustania celu biznesowego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zale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od tego, co nast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pi wcze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niej. Podanie danych jest dobrowolne, jednak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dne do otrzymywania informacji marketingowych/handlowych. </w:t>
      </w:r>
      <w:r>
        <w:rPr>
          <w:rStyle w:val="Brak"/>
          <w:rFonts w:ascii="Arial Unicode MS" w:cs="Arial Unicode MS" w:hAnsi="Arial Unicode MS" w:eastAsia="Arial Unicode MS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  <w:br w:type="textWrapping"/>
        <w:br w:type="textWrapping"/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komunikacji handlowej oraz telefonicznej potrzebuj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Twojej zgody zgodnie z art. 10 ustawy o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wiadczeniu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 drog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elektroniczn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esz 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ka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dej chwili wycofa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ć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klikaj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 link w stopce maila lub pisz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 do mnie na adres podany 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ej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12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Administrowania i zarz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dzania stron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i grupami na platformach spo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eczno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ciowych (m.in. Facebook (Meta), Instagram) w przypadku przetwarzania danych na platformach spo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eczno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ciowych, w tym komunikacji z Tob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kierowania do Ciebie tre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ci marketingowych.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nl-NL"/>
          <w14:textFill>
            <w14:solidFill>
              <w14:srgbClr w14:val="010101"/>
            </w14:solidFill>
          </w14:textFill>
        </w:rPr>
        <w:t>Dane te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cznie wtedy, gdy zdecydujesz 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 polubienie strony / do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czenie do grupy / wybranie opcji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„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Obserwuj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”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lub w inny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zostawisz swoje dane na platformie zarz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dzanej przeze mnie, np. w formie umieszczenia wpisu lub komentarza. 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okres istnienia strony/grupy lub do czasu wniesienia przez Ciebie sprzeciwu, co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nast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poprzez odklikni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cie opcji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„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Lubi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”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,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„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Obserwuj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”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usuni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cie komentarza/wpisu lub w inny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przewidziany w ramach platformy/strony lub poprzez skontaktowanie 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z nami. Informujemy,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zasady odnosz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strony/fanpage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a/grupy ustala Administrator, natomiast zasady korzystania z portalu spo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eczno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ciowego, na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rym umieszczona jest strona/fanpage/grupa ustala podmiot zarz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 tymi portalami.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14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Analitycznym i statystycznym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przetwarzane do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analitycznych i statystycznych polegaj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w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na analizie danych pozyskanych automatycznie przy korzystaniu ze strony internetowej, w tym 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cookies, przetwarzane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uzasadniony interes Administratora w postaci dostosowania zawarto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Strony do preferencji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 oraz optymalizacji korzystania ze Strony; tworzenia statystyk,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 pomagaj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zrozumie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ć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w jaki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ytkownicy korzystaj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ze Strony, co umo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liwia ulepszanie jej struktury i zawarto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(art. 6 ust. 1 lit. f RODO). Dane mog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tak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archiwizowane do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wewn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trznych i statystycznych do czasu wniesienia przez Ciebie sprzeciwu lub ustania celu biznesowego w oparciu o uzasadniony interes Administratora (art. 6 ust. 1 lit. f RODO). </w:t>
      </w:r>
    </w:p>
    <w:p>
      <w:pPr>
        <w:pStyle w:val="Treść A"/>
        <w:numPr>
          <w:ilvl w:val="0"/>
          <w:numId w:val="16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Odzyskiwania odrzuconych koszyk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sytuacji gdy nie uko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czysz sk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adania zam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wienia, otrzymasz przypomnienie o rozpocz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tym, ale niesfinalizowanym zam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wieniu. Dane przetwarzane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uzasadniony interes Administratora w postaci obs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potencjalnych Klient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i Klient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w(art. 6 ust. 1 lit. f RODO). Dane te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czas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dny do realizacji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w biznesowych lub wniesienia sprzeciwu.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18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Zamieszczania komentarzy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stosunku do danych widocznych na naszej Stronie przy zamieszczonym komentarzu, dane te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nas w celu administrowania Stron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i jej obs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oraz komunikacji z Tob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uzasadniony interes Administratora (art.  6 ust. 1 lit. f) przez czas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dny do realizacji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biznesowych lub wniesienia sprzeciwu.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20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Promocji i marketingu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sytuacji gdy przeka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esz nam swoje dane w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w postaci opinii dotycz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cej produktu lub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ugi, w tym dane dot. wizerunku, dane te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uzasadniony interes Administratora w postaci marketingu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 i produkt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Administratora oraz podnoszenia ich jako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ci. Dane te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czas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dny do realizacji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biznesowych lub wniesienia sprzeciwu. Podanie danych jest dobrowolne.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22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Zbierania danych wra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liwych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wra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zbierane w celu realizacji umowy i jej prawid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owego wykonywania w oparciu o Twoj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 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wiadom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i dobrowoln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zgod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(art. 9 ust. 2 lit. a RODO)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czasu ustania celu biznesowego lub cofni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cia zgody. Podanie danych jest dobrowolne, ale jest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dne do prawid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owej realizacji umowy.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numPr>
          <w:ilvl w:val="0"/>
          <w:numId w:val="24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Rekrutacji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mog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przez czas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dny do procesu rekrutacji i zawarcia umowy(art. 6 ust.1 lit. b oraz 6 ust.1 lit. c RODO), a w przypadku danych dodatkowych dobrowolnie podanych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Twoj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zgod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pt-PT"/>
          <w14:textFill>
            <w14:solidFill>
              <w14:srgbClr w14:val="010101"/>
            </w14:solidFill>
          </w14:textFill>
        </w:rPr>
        <w:t>; do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przysz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ych rekrutacji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 podstawie wyra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onej przez Ciebie zgody, przez okres maksymalnie 3 lat (okres ten liczony jest od zako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czenia roku, w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rych aplikacja zosta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a pozyskana). Podanie danych osobowych jest dobrowolne, z tym,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podanie niekt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rych danych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dne do przeprowadzenia rekrutacji, jak r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wnie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ż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zawarcia umowy. Konsekwencj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niepodania tych danych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dzie brak realizacji ww. dzia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</w:t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a9z3c0yjq" w:id="4"/>
      <w:bookmarkEnd w:id="4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3 Komu mo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emy przekaza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Twoje dane?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Przekazujemy Twoje dane innym podmiotom tylko wtedy, gdy jest to niezb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dne do realizacji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przetwarzania, o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rych mowa w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2 oraz 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cznie w zakresie koniecznym do realizacji tego celu.  Co do zasady zbieramy i przetwarzamy tylko te dane,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 sam nam poda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ś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 zastrze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eniem danych zbieranych automatycznie (plik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n-US"/>
          <w14:textFill>
            <w14:solidFill>
              <w14:srgbClr w14:val="010101"/>
            </w14:solidFill>
          </w14:textFill>
        </w:rPr>
        <w:t>w cookies). 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cej o cookies znajdziesz w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7.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razie potrzeby Twoje dane mog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przekazane podmiotom, z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rymi 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pracujemy przy realizacji ww.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w, w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firmie hostingowej, firmie informatycznej/podmiotowi zarz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cemu stron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, firmie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cej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rachunkowo-ksi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gowe, firmie udost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pniaj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cej program do faktur, firmie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cej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ugi newslettera, firmie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cej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ugi chmurowe, podmiotom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ugi marketingowe, podmiotom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ugi administracyjne, podmiotom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konsultingowe, podwykonawcom, prawnikom, kurierom lub operatorom pocztowym, platformie szkoleniowej, platformie spo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eczno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ciowej, platformie do obs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Klient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w, platformie do umawiania wizyt, platformie do udost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pniania produkt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w lub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wiadczenia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ug, innym podmiotom,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 wspieraj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Administratora w realizacji cel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przetwarzania.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Co do zasady dane nie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przekazywane poza obszar EOG, z zastrze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eniem sytuacji opisanych poni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ej. W pozosta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ych przypadkach, w sytuacji gdy dane 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przekazane poza EOG, nast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pi to w oparciu o Twoj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zgod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standardowe klauzule umowne lub w oparciu o inne zabezpieczenia przewidziane w RODO po spe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nieniu m.in. obowi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zku informacyjnego.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ugi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wiadczone przez Google lub Facebook (META)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wiadczone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co do zasady przez podmioty maj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swoj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siedzib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Unii Europejskiej. Z uwagi jednak na globalny charakter dzia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ania tych podmiot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w, Twoje dane mog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przekazywane do USA, w zwi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zku z ich przechowywaniem na serwerach ameryka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skich (w ca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lub w 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ci). Niezale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 od tego, Google i Facebook wdro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 zabezpieczenia przewidziane RODO maj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na celu ochron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danych osobowych zgodnie z wymogami RODO poprzez stosowanie standardowych klauzul umownych.  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cej informacji o zasadach przetwarzania danych przez ww. dostawc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znajduj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Politykach prywatno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ka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dego z podmiot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aunz7laq2yui" w:id="5"/>
      <w:bookmarkEnd w:id="5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4 Jakie prawa Ci przys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uguj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?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zwi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zku z RODO przys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uguje Ci prawo:</w:t>
      </w:r>
    </w:p>
    <w:p>
      <w:pPr>
        <w:pStyle w:val="Treść A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pu do swoich danych osobowych,</w:t>
      </w:r>
    </w:p>
    <w:p>
      <w:pPr>
        <w:pStyle w:val="Treść A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sprostowania danych osobowych,</w:t>
      </w:r>
    </w:p>
    <w:p>
      <w:pPr>
        <w:pStyle w:val="Treść A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usuni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cia danych osobowych,</w:t>
      </w:r>
    </w:p>
    <w:p>
      <w:pPr>
        <w:pStyle w:val="Treść A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ograniczenia przetwarzania danych osobowych,</w:t>
      </w:r>
    </w:p>
    <w:p>
      <w:pPr>
        <w:pStyle w:val="Treść A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sprzeciwu wobec przetwarzania danych osobowych,</w:t>
      </w:r>
    </w:p>
    <w:p>
      <w:pPr>
        <w:pStyle w:val="Treść A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przenoszenia danych osobowych,</w:t>
      </w:r>
    </w:p>
    <w:p>
      <w:pPr>
        <w:pStyle w:val="Treść A"/>
        <w:numPr>
          <w:ilvl w:val="0"/>
          <w:numId w:val="26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cofni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cia zgody; wycofanie zgody nie wp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ywa na zgodno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ść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 prawem przetwarzania dokonanego przed jej cofni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ciem.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Je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eli uwa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asz,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Twoje dane osobowe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przetwarzane niezgodnie z obowi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prawem, przys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uguje Ci skarga do Prezesa Urz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du Ochrony Danych Osobowych. W takim przypadku zach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cam jednak do wcze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niejszego kontaktu ze mn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celem wyja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nienia swoich w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tpliwo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5 Czy Twoje dane s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profilowane?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 analizuje dane osobowe w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zautomatyzowany za pomoc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 udost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pnionych przez dostawc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oprogramowania (np. za pomoc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statystyk, historii) 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cznie w zakresie,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 nie wywo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uje wobec Ciebie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adnych skutk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prawnych lub w podobny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istotnie wp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ywa na Twoj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sytuacj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w tym prawa lub wolno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ci. Celem przetwarzania danych w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zautomatyzowany jest poznanie przez preferencji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(wi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cej o analizie wskazano w rozdziale Polityka 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n-US"/>
          <w14:textFill>
            <w14:solidFill>
              <w14:srgbClr w14:val="010101"/>
            </w14:solidFill>
          </w14:textFill>
        </w:rPr>
        <w:t>w cookies).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6 Przepisy prawa obowi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zuj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w zakresie danych osobowych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sprawach nieuregulowanych stosuje 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n-US"/>
          <w14:textFill>
            <w14:solidFill>
              <w14:srgbClr w14:val="010101"/>
            </w14:solidFill>
          </w14:textFill>
        </w:rPr>
        <w:t>w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ciwe przepisy prawa, w tym prawa europejskiego (m.in. RODO).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ez1566yy57xo" w:id="6"/>
      <w:bookmarkEnd w:id="6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7 Polityka plik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:lang w:val="en-US"/>
          <w14:textFill>
            <w14:solidFill>
              <w14:srgbClr w14:val="010101"/>
            </w14:solidFill>
          </w14:textFill>
        </w:rPr>
        <w:t>w cookies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Strona nie zbiera w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b automatyczny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adnych informacji, z wyj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tkiem informacji zawartych w plikach cookies. Dane te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zbierane w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uniemo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liwiaj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 identyfikacj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ytkownika, tzw. Dane Anonimowe.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Pliki cookies (tzw.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„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ciasteczka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”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) stanowi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informatyczne, w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pliki tekstowe,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 przechowywane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urz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dzeniu ko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cowym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 Strony i przeznaczone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korzystania ze Strony. Cookies zazwyczaj zawieraj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nazw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strony internetowej, z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rej pochodz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czas przechowywania ich na urz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dzeniu ko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cowym oraz unikalny numer.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Pliki cookies wykorzystywane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celu dostosowania zawarto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Strony do preferencji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 oraz optymalizacji korzystania ze Strony; tworzenia statystyk,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 pomagaj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zrozumie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ć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, w jaki spos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ytkownicy korzystaj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ze Strony, co umo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liwia ulepszanie jej struktury i zawarto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esz dokona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samodzielnie zmian w ustawieniach dotycz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cookies. W wielu przypadkach przegl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darka internetowa domy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lnie dopuszcza przechowywanie 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cookies w urz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dzeniu ko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ń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cowym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ytkownika.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owe informacje o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 i sposobach obs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ugi 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n-US"/>
          <w14:textFill>
            <w14:solidFill>
              <w14:srgbClr w14:val="010101"/>
            </w14:solidFill>
          </w14:textFill>
        </w:rPr>
        <w:t>w cookies dost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ustawieniach oprogramowania (przegl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darki internetowej). Brak wyra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enia zgody na pliki cookies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ogranicza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anie niekt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rych funkcjonalno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ci na Stronie. </w:t>
      </w:r>
      <w:r>
        <w:rPr>
          <w:rStyle w:val="Brak"/>
          <w:rFonts w:ascii="Arial Unicode MS" w:cs="Arial Unicode MS" w:hAnsi="Arial Unicode MS" w:eastAsia="Arial Unicode MS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  <w:br w:type="textWrapping"/>
        <w:br w:type="textWrapping"/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 stosuje technologie obserwuj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dzia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ania podejmowane przez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ytkownika w ramach Strony:</w:t>
      </w:r>
    </w:p>
    <w:p>
      <w:pPr>
        <w:pStyle w:val="Treść A"/>
        <w:numPr>
          <w:ilvl w:val="0"/>
          <w:numId w:val="28"/>
        </w:numPr>
        <w:bidi w:val="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piksel konwersji Facebooka (Meta) dostarczany przez Meta Platforms Ireland Limited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celu zarz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dzania reklamami na Meta i prowadzenia dzia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ń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remarketingowych; Facebook Pixel to fragment kodu opublikowany na stronie internetowej,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ry pozwala na docieranie do grupy docelowej w oparciu o dane 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 korzysta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 ze strony internetowej. W ramach funkcji Facebook Pixel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liwe jest zatem 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wietlanie opublikowanych reklam na portalu nale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do Meta wy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cznie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ytkownikom portalu, kt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rzy wykazali zainteresowanie  produktami lub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ugami lub maj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lne czynniki do ww. os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b. Dane te przetwarzane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uzasadniony interes Administratora (art. 6 ust. 1 lit. f RODO).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owe informacje dot. Piksela Facebooka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 znale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źć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na stronie </w:t>
      </w:r>
      <w:r>
        <w:rPr>
          <w:rStyle w:val="Hyperlink.1"/>
          <w:sz w:val="23"/>
          <w:szCs w:val="23"/>
        </w:rPr>
        <w:fldChar w:fldCharType="begin" w:fldLock="0"/>
      </w:r>
      <w:r>
        <w:rPr>
          <w:rStyle w:val="Hyperlink.1"/>
          <w:sz w:val="23"/>
          <w:szCs w:val="23"/>
        </w:rPr>
        <w:instrText xml:space="preserve"> HYPERLINK "https://www.facebook.com/privacy/center/?entry_point=privacy_shortcuts_redirect"</w:instrText>
      </w:r>
      <w:r>
        <w:rPr>
          <w:rStyle w:val="Hyperlink.1"/>
          <w:sz w:val="23"/>
          <w:szCs w:val="23"/>
        </w:rPr>
        <w:fldChar w:fldCharType="separate" w:fldLock="0"/>
      </w:r>
      <w:r>
        <w:rPr>
          <w:rStyle w:val="Hyperlink.1"/>
          <w:sz w:val="23"/>
          <w:szCs w:val="23"/>
          <w:rtl w:val="0"/>
        </w:rPr>
        <w:t>Polityki prywatno</w:t>
      </w:r>
      <w:r>
        <w:rPr>
          <w:rStyle w:val="Hyperlink.1"/>
          <w:sz w:val="23"/>
          <w:szCs w:val="23"/>
          <w:rtl w:val="0"/>
        </w:rPr>
        <w:t>ś</w:t>
      </w:r>
      <w:r>
        <w:rPr>
          <w:rStyle w:val="Hyperlink.1"/>
          <w:sz w:val="23"/>
          <w:szCs w:val="23"/>
          <w:rtl w:val="0"/>
        </w:rPr>
        <w:t>ci Facebooka (Meta).</w:t>
      </w:r>
      <w:r>
        <w:rPr>
          <w:sz w:val="23"/>
          <w:szCs w:val="23"/>
        </w:rPr>
        <w:fldChar w:fldCharType="end" w:fldLock="0"/>
      </w:r>
    </w:p>
    <w:p>
      <w:pPr>
        <w:pStyle w:val="Treść A"/>
        <w:numPr>
          <w:ilvl w:val="0"/>
          <w:numId w:val="28"/>
        </w:numPr>
        <w:bidi w:val="0"/>
        <w:spacing w:after="560"/>
        <w:ind w:right="0"/>
        <w:jc w:val="left"/>
        <w:rPr>
          <w:sz w:val="23"/>
          <w:szCs w:val="23"/>
          <w:rtl w:val="0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dzia Google, w tym Google Analytics dostarczane przez Google LLC, 1600 Amphitheatre Parkway, Mountain View, CA 94043, USA. Dane pozyskane w ramach korzystania z ww. narz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dzia wykorzystuj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celu analizy statystyk Strony. Google Analytics korzysta z w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asnych plik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cookies do analizowania dzia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ń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i zachowa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ń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Strony. Pliki te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żą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do przechowywania informacji, np. z jakiej strony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 trafi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ł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na bie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n-US"/>
          <w14:textFill>
            <w14:solidFill>
              <w14:srgbClr w14:val="010101"/>
            </w14:solidFill>
          </w14:textFill>
        </w:rPr>
        <w:t>stron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internetow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 Pomagaj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udoskonali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de-DE"/>
          <w14:textFill>
            <w14:solidFill>
              <w14:srgbClr w14:val="010101"/>
            </w14:solidFill>
          </w14:textFill>
        </w:rPr>
        <w:t>Stron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; Dane te przetwarzane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 oparciu o uzasadniony interes Administratora (art. 6 ust. 1 lit. f RODO). 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owe informacje dot. Piksela Facebooka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 znale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źć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na stronie </w:t>
      </w:r>
      <w:r>
        <w:rPr>
          <w:rStyle w:val="Hyperlink.1"/>
          <w:sz w:val="23"/>
          <w:szCs w:val="23"/>
        </w:rPr>
        <w:fldChar w:fldCharType="begin" w:fldLock="0"/>
      </w:r>
      <w:r>
        <w:rPr>
          <w:rStyle w:val="Hyperlink.1"/>
          <w:sz w:val="23"/>
          <w:szCs w:val="23"/>
        </w:rPr>
        <w:instrText xml:space="preserve"> HYPERLINK "https://policies.google.com/technologies/partner-sites"</w:instrText>
      </w:r>
      <w:r>
        <w:rPr>
          <w:rStyle w:val="Hyperlink.1"/>
          <w:sz w:val="23"/>
          <w:szCs w:val="23"/>
        </w:rPr>
        <w:fldChar w:fldCharType="separate" w:fldLock="0"/>
      </w:r>
      <w:r>
        <w:rPr>
          <w:rStyle w:val="Hyperlink.1"/>
          <w:sz w:val="23"/>
          <w:szCs w:val="23"/>
          <w:rtl w:val="0"/>
        </w:rPr>
        <w:t>dot. zasad korzystania z narz</w:t>
      </w:r>
      <w:r>
        <w:rPr>
          <w:rStyle w:val="Hyperlink.1"/>
          <w:sz w:val="23"/>
          <w:szCs w:val="23"/>
          <w:rtl w:val="0"/>
        </w:rPr>
        <w:t>ę</w:t>
      </w:r>
      <w:r>
        <w:rPr>
          <w:rStyle w:val="Hyperlink.1"/>
          <w:sz w:val="23"/>
          <w:szCs w:val="23"/>
          <w:rtl w:val="0"/>
        </w:rPr>
        <w:t>dzi Google.</w:t>
      </w:r>
      <w:r>
        <w:rPr>
          <w:sz w:val="23"/>
          <w:szCs w:val="23"/>
        </w:rPr>
        <w:fldChar w:fldCharType="end" w:fldLock="0"/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immfjgi2rbta" w:id="7"/>
      <w:bookmarkEnd w:id="7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8 Wtyczki spo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eczno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 xml:space="preserve">ciowe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 Stronie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ywane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wtyczki, widgety i inne narz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dzia spo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eczno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ciowe udost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ę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pniane przez portale takie jak: Facebook (Meta), Instagram, YouTube, Linkedin. Zasady dotycz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przetwarzania danych osobowych opisane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bezpo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rednio na stronach ww.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ugodawc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Nagłówek"/>
        <w:keepNext w:val="0"/>
        <w:keepLines w:val="0"/>
        <w:spacing w:before="0" w:after="240" w:line="288" w:lineRule="auto"/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14:textFill>
            <w14:solidFill>
              <w14:srgbClr w14:val="010101"/>
            </w14:solidFill>
          </w14:textFill>
        </w:rPr>
      </w:pPr>
      <w:bookmarkStart w:name="_iorax1tk98z9" w:id="8"/>
      <w:bookmarkEnd w:id="8"/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§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9 Wsp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b w:val="1"/>
          <w:bCs w:val="1"/>
          <w:outline w:val="0"/>
          <w:color w:val="010101"/>
          <w:sz w:val="38"/>
          <w:szCs w:val="38"/>
          <w:u w:color="010101"/>
          <w:rtl w:val="0"/>
          <w14:textFill>
            <w14:solidFill>
              <w14:srgbClr w14:val="010101"/>
            </w14:solidFill>
          </w14:textFill>
        </w:rPr>
        <w:t>administrowanie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przetwarzane na potrzeby statystyk zbieranych w ramach platformy Facebook (Meta)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administrowane przez Administratora oraz Meta Platforms Ireland Limited, z siedzib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pod adresem 4 Grand Canal Square, Grand Canal Harbour, Dublin 2, Irlandia, zwana dalej 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administratorem.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owe zasady dotycz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administrowania danymi, w tym informacje o przys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prawach, opisane zosta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y na stronie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"https://www.facebook.com/privacy/policy/?entry_point=data_policy_redirect&amp;entry=0"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Polityka prywatno</w:t>
      </w:r>
      <w:r>
        <w:rPr>
          <w:rStyle w:val="Hyperlink.2"/>
          <w:rtl w:val="0"/>
        </w:rPr>
        <w:t>ś</w:t>
      </w:r>
      <w:r>
        <w:rPr>
          <w:rStyle w:val="Hyperlink.2"/>
          <w:rtl w:val="0"/>
        </w:rPr>
        <w:t>ci</w:t>
      </w:r>
      <w:r>
        <w:rPr/>
        <w:fldChar w:fldCharType="end" w:fldLock="0"/>
      </w:r>
      <w:r>
        <w:rPr>
          <w:rStyle w:val="Brak"/>
          <w:b w:val="1"/>
          <w:bCs w:val="1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  <w:rPr>
          <w:rStyle w:val="Hyperlink.2"/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Dane przetwarzane w ramach platformy Linkedin 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ą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administrowane przez Administratora oraz Linkedin Ireland Unlimited Company, adres: Legal Dept. (Privacy Policy and User Agreement), Wilton Place, Dublin 2, Ireland, zwany dalej 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administratorem. Szczeg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owe zasady dotycz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ce 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administrowania danymi, w tym informacje o przys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uguj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cym prawach, opisane zosta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y na stronie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"https://pl.linkedin.com/legal/privacy-policy"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Polityka prywatno</w:t>
      </w:r>
      <w:r>
        <w:rPr>
          <w:rStyle w:val="Hyperlink.2"/>
          <w:rtl w:val="0"/>
        </w:rPr>
        <w:t>ś</w:t>
      </w:r>
      <w:r>
        <w:rPr>
          <w:rStyle w:val="Hyperlink.2"/>
          <w:rtl w:val="0"/>
        </w:rPr>
        <w:t xml:space="preserve">ci. </w:t>
      </w:r>
      <w:r>
        <w:rPr/>
        <w:fldChar w:fldCharType="end" w:fldLock="0"/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 przetwarza dane w oparciu o uzasadniony interes Administratora polegaj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 na prowadzeniu analiz aktywno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it-IT"/>
          <w14:textFill>
            <w14:solidFill>
              <w14:srgbClr w14:val="010101"/>
            </w14:solidFill>
          </w14:textFill>
        </w:rPr>
        <w:t>ci U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ytkownik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w, a tak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e ich preferencji, w celu poprawy stosowanych funkcjonalno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ci i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ś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wiadczonych us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ug. W sprawach dotycz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ą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cych danych osobowych mo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ż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na kontaktowa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ć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si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ę 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zar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:lang w:val="es-ES_tradnl"/>
          <w14:textFill>
            <w14:solidFill>
              <w14:srgbClr w14:val="010101"/>
            </w14:solidFill>
          </w14:textFill>
        </w:rPr>
        <w:t>ó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wno z Administratorem, jak i Wsp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ół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administratorem.</w:t>
      </w:r>
    </w:p>
    <w:p>
      <w:pPr>
        <w:pStyle w:val="Treść A"/>
        <w:spacing w:after="300"/>
        <w:rPr>
          <w:rStyle w:val="Brak"/>
          <w:outline w:val="0"/>
          <w:color w:val="010101"/>
          <w:sz w:val="23"/>
          <w:szCs w:val="23"/>
          <w:u w:color="010101"/>
          <w14:textFill>
            <w14:solidFill>
              <w14:srgbClr w14:val="010101"/>
            </w14:solidFill>
          </w14:textFill>
        </w:rPr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Treść A"/>
        <w:spacing w:after="300"/>
      </w:pP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Aktualizacja 23.0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3</w:t>
      </w:r>
      <w:r>
        <w:rPr>
          <w:rStyle w:val="Brak"/>
          <w:outline w:val="0"/>
          <w:color w:val="010101"/>
          <w:sz w:val="23"/>
          <w:szCs w:val="23"/>
          <w:u w:color="010101"/>
          <w:rtl w:val="0"/>
          <w14:textFill>
            <w14:solidFill>
              <w14:srgbClr w14:val="010101"/>
            </w14:solidFill>
          </w14:textFill>
        </w:rPr>
        <w:t>.2025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bullet"/>
      <w:suff w:val="tab"/>
      <w:lvlText w:val="●"/>
      <w:lvlJc w:val="left"/>
      <w:pPr>
        <w:ind w:left="106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78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5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2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94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66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84" w:hanging="34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10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82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1010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">
    <w:name w:val="Nagłówek"/>
    <w:next w:val="Treść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A">
    <w:name w:val="Brak A"/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  <w:style w:type="numbering" w:styleId="Zaimportowany styl 10">
    <w:name w:val="Zaimportowany styl 10"/>
    <w:pPr>
      <w:numPr>
        <w:numId w:val="19"/>
      </w:numPr>
    </w:pPr>
  </w:style>
  <w:style w:type="numbering" w:styleId="Zaimportowany styl 11">
    <w:name w:val="Zaimportowany styl 11"/>
    <w:pPr>
      <w:numPr>
        <w:numId w:val="21"/>
      </w:numPr>
    </w:pPr>
  </w:style>
  <w:style w:type="numbering" w:styleId="Zaimportowany styl 12">
    <w:name w:val="Zaimportowany styl 12"/>
    <w:pPr>
      <w:numPr>
        <w:numId w:val="23"/>
      </w:numPr>
    </w:pPr>
  </w:style>
  <w:style w:type="numbering" w:styleId="Zaimportowany styl 13">
    <w:name w:val="Zaimportowany styl 13"/>
    <w:pPr>
      <w:numPr>
        <w:numId w:val="25"/>
      </w:numPr>
    </w:pPr>
  </w:style>
  <w:style w:type="numbering" w:styleId="Zaimportowany styl 14">
    <w:name w:val="Zaimportowany styl 14"/>
    <w:pPr>
      <w:numPr>
        <w:numId w:val="27"/>
      </w:numPr>
    </w:pPr>
  </w:style>
  <w:style w:type="character" w:styleId="Hyperlink.1">
    <w:name w:val="Hyperlink.1"/>
    <w:basedOn w:val="Brak"/>
    <w:next w:val="Hyperlink.1"/>
    <w:rPr>
      <w:outline w:val="0"/>
      <w:color w:val="9d6f5c"/>
      <w:u w:color="9d6f5c"/>
      <w14:textFill>
        <w14:solidFill>
          <w14:srgbClr w14:val="9D6F5C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b w:val="1"/>
      <w:bCs w:val="1"/>
      <w:outline w:val="0"/>
      <w:color w:val="9d6f5c"/>
      <w:sz w:val="23"/>
      <w:szCs w:val="23"/>
      <w:u w:color="9d6f5c"/>
      <w14:textFill>
        <w14:solidFill>
          <w14:srgbClr w14:val="9D6F5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